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84" w:rsidRPr="00811669" w:rsidRDefault="00293818" w:rsidP="00FD61E1">
      <w:pPr>
        <w:widowControl/>
        <w:spacing w:after="150"/>
        <w:jc w:val="center"/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293818"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  <w:t>供應商管理政策及相關規範之實施情形</w:t>
      </w:r>
    </w:p>
    <w:p w:rsidR="00AC76B3" w:rsidRDefault="00AC76B3" w:rsidP="00AC76B3">
      <w:pPr>
        <w:widowControl/>
        <w:spacing w:after="150"/>
        <w:rPr>
          <w:rFonts w:ascii="Open Sans" w:eastAsia="新細明體" w:hAnsi="Open Sans" w:cs="新細明體"/>
          <w:b/>
          <w:color w:val="000000"/>
          <w:kern w:val="0"/>
          <w:sz w:val="20"/>
          <w:szCs w:val="20"/>
        </w:rPr>
      </w:pPr>
    </w:p>
    <w:p w:rsidR="00B772D1" w:rsidRDefault="00B772D1" w:rsidP="00AC76B3">
      <w:pPr>
        <w:widowControl/>
        <w:spacing w:after="150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</w:p>
    <w:p w:rsidR="0013212C" w:rsidRDefault="000A4083" w:rsidP="009071DA">
      <w:pPr>
        <w:widowControl/>
        <w:spacing w:after="120" w:line="340" w:lineRule="exact"/>
        <w:ind w:left="283" w:hangingChars="101" w:hanging="283"/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</w:rPr>
      </w:pPr>
      <w:r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</w:rPr>
        <w:t>●</w:t>
      </w:r>
      <w:r w:rsidR="009071DA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</w:rPr>
        <w:t>共同合作建立一個保護環境、重視社會責任、勞動人權、安全健康且永續發展之供應鏈為目標</w:t>
      </w:r>
    </w:p>
    <w:tbl>
      <w:tblPr>
        <w:tblStyle w:val="1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9071DA" w:rsidTr="00073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</w:tcPr>
          <w:p w:rsidR="009071DA" w:rsidRDefault="009071DA" w:rsidP="000C1F01">
            <w:pPr>
              <w:widowControl/>
              <w:rPr>
                <w:rFonts w:asciiTheme="minorEastAsia" w:hAnsiTheme="minorEastAsia" w:cs="新細明體"/>
                <w:bCs w:val="0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引導供應商兼顧產品品質與節能、環保之規定：</w:t>
            </w:r>
          </w:p>
          <w:p w:rsidR="009071DA" w:rsidRPr="004605A9" w:rsidRDefault="009071DA" w:rsidP="009071DA">
            <w:pPr>
              <w:widowControl/>
              <w:rPr>
                <w:rFonts w:asciiTheme="minorEastAsia" w:hAnsiTheme="minorEastAsia" w:cs="新細明體"/>
                <w:b w:val="0"/>
                <w:color w:val="000000"/>
                <w:kern w:val="0"/>
                <w:szCs w:val="24"/>
              </w:rPr>
            </w:pPr>
            <w:r w:rsidRPr="009071DA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</w:t>
            </w:r>
            <w:r w:rsidRPr="004605A9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 xml:space="preserve"> 如遴選之供應商通過I</w:t>
            </w:r>
            <w:r w:rsidRPr="004605A9">
              <w:rPr>
                <w:rFonts w:asciiTheme="minorEastAsia" w:hAnsiTheme="minorEastAsia" w:cs="新細明體"/>
                <w:b w:val="0"/>
                <w:color w:val="000000"/>
                <w:kern w:val="0"/>
                <w:szCs w:val="24"/>
              </w:rPr>
              <w:t>SO9000</w:t>
            </w:r>
            <w:r w:rsidRPr="004605A9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品質管理系統認證、 I</w:t>
            </w:r>
            <w:r w:rsidRPr="004605A9">
              <w:rPr>
                <w:rFonts w:asciiTheme="minorEastAsia" w:hAnsiTheme="minorEastAsia" w:cs="新細明體"/>
                <w:b w:val="0"/>
                <w:color w:val="000000"/>
                <w:kern w:val="0"/>
                <w:szCs w:val="24"/>
              </w:rPr>
              <w:t>SO</w:t>
            </w:r>
            <w:r w:rsidRPr="004605A9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14</w:t>
            </w:r>
            <w:r w:rsidRPr="004605A9">
              <w:rPr>
                <w:rFonts w:asciiTheme="minorEastAsia" w:hAnsiTheme="minorEastAsia" w:cs="新細明體"/>
                <w:b w:val="0"/>
                <w:color w:val="000000"/>
                <w:kern w:val="0"/>
                <w:szCs w:val="24"/>
              </w:rPr>
              <w:t>00</w:t>
            </w:r>
            <w:r w:rsidRPr="004605A9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1環境管理系統驗證。</w:t>
            </w:r>
          </w:p>
          <w:p w:rsidR="009071DA" w:rsidRPr="004605A9" w:rsidRDefault="009071DA" w:rsidP="000C1F01">
            <w:pPr>
              <w:widowControl/>
              <w:rPr>
                <w:rFonts w:asciiTheme="minorEastAsia" w:hAnsiTheme="minorEastAsia" w:cs="新細明體"/>
                <w:b w:val="0"/>
                <w:bCs w:val="0"/>
                <w:color w:val="000000"/>
                <w:kern w:val="0"/>
                <w:szCs w:val="24"/>
              </w:rPr>
            </w:pPr>
            <w:r w:rsidRPr="004605A9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18"/>
                <w:szCs w:val="18"/>
              </w:rPr>
              <w:t>◆</w:t>
            </w:r>
            <w:r w:rsidRPr="004605A9">
              <w:rPr>
                <w:rFonts w:asciiTheme="minorEastAsia" w:hAnsiTheme="minorEastAsia" w:cs="新細明體" w:hint="eastAsia"/>
                <w:b w:val="0"/>
                <w:bCs w:val="0"/>
                <w:color w:val="000000"/>
                <w:kern w:val="0"/>
                <w:szCs w:val="24"/>
              </w:rPr>
              <w:t xml:space="preserve">  產品是否具有環保標章，</w:t>
            </w:r>
            <w:r w:rsidR="00E103B7" w:rsidRPr="004605A9">
              <w:rPr>
                <w:rFonts w:asciiTheme="minorEastAsia" w:hAnsiTheme="minorEastAsia" w:cs="新細明體" w:hint="eastAsia"/>
                <w:b w:val="0"/>
                <w:bCs w:val="0"/>
                <w:color w:val="000000"/>
                <w:kern w:val="0"/>
                <w:szCs w:val="24"/>
              </w:rPr>
              <w:t>採用環保可回收的包裝方式及材料。</w:t>
            </w:r>
            <w:r w:rsidRPr="004605A9">
              <w:rPr>
                <w:rFonts w:asciiTheme="minorEastAsia" w:hAnsiTheme="minorEastAsia" w:cs="新細明體" w:hint="eastAsia"/>
                <w:b w:val="0"/>
                <w:bCs w:val="0"/>
                <w:color w:val="000000"/>
                <w:kern w:val="0"/>
                <w:szCs w:val="24"/>
              </w:rPr>
              <w:t xml:space="preserve">  </w:t>
            </w:r>
          </w:p>
          <w:p w:rsidR="009071DA" w:rsidRPr="00073120" w:rsidRDefault="009071DA" w:rsidP="000C1F01">
            <w:pPr>
              <w:widowControl/>
              <w:rPr>
                <w:rFonts w:asciiTheme="minorEastAsia" w:hAnsiTheme="minorEastAsia" w:cs="新細明體" w:hint="eastAsia"/>
                <w:bCs w:val="0"/>
                <w:color w:val="000000"/>
                <w:kern w:val="0"/>
                <w:szCs w:val="24"/>
              </w:rPr>
            </w:pPr>
            <w:r w:rsidRPr="004605A9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18"/>
                <w:szCs w:val="18"/>
              </w:rPr>
              <w:t>◆</w:t>
            </w:r>
            <w:r w:rsidRPr="004605A9">
              <w:rPr>
                <w:rFonts w:asciiTheme="minorEastAsia" w:hAnsiTheme="minorEastAsia" w:cs="新細明體" w:hint="eastAsia"/>
                <w:b w:val="0"/>
                <w:bCs w:val="0"/>
                <w:color w:val="000000"/>
                <w:kern w:val="0"/>
                <w:szCs w:val="24"/>
              </w:rPr>
              <w:t xml:space="preserve">  </w:t>
            </w:r>
            <w:r w:rsidR="003620E1" w:rsidRPr="004605A9">
              <w:rPr>
                <w:rFonts w:asciiTheme="minorEastAsia" w:hAnsiTheme="minorEastAsia" w:cs="新細明體" w:hint="eastAsia"/>
                <w:b w:val="0"/>
                <w:bCs w:val="0"/>
                <w:color w:val="000000"/>
                <w:kern w:val="0"/>
                <w:szCs w:val="24"/>
              </w:rPr>
              <w:t>符合本公司之環境政策及減少廢棄物、節約能源</w:t>
            </w:r>
            <w:r w:rsidR="009F251F" w:rsidRPr="004605A9">
              <w:rPr>
                <w:rFonts w:asciiTheme="minorEastAsia" w:hAnsiTheme="minorEastAsia" w:cs="新細明體" w:hint="eastAsia"/>
                <w:b w:val="0"/>
                <w:bCs w:val="0"/>
                <w:color w:val="000000"/>
                <w:kern w:val="0"/>
                <w:szCs w:val="24"/>
              </w:rPr>
              <w:t>、汙染防治、環保法令等。</w:t>
            </w:r>
          </w:p>
        </w:tc>
      </w:tr>
      <w:tr w:rsidR="009071DA" w:rsidTr="0007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</w:tcPr>
          <w:p w:rsidR="009071DA" w:rsidRPr="004605A9" w:rsidRDefault="004605A9" w:rsidP="000C1F01">
            <w:pPr>
              <w:widowControl/>
              <w:rPr>
                <w:rFonts w:asciiTheme="minorEastAsia" w:hAnsiTheme="minorEastAsia" w:cs="新細明體"/>
                <w:b w:val="0"/>
                <w:color w:val="000000"/>
                <w:kern w:val="0"/>
                <w:szCs w:val="24"/>
              </w:rPr>
            </w:pPr>
            <w:r w:rsidRPr="004605A9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若為承攬工程之供應商，亦將其公安防災納入管理，除實施進廠安全管控、施工許可等安全措施外，並協助承攬商落實安全衛生自主管理，遵循安全衛生或環境保護等相關規範。</w:t>
            </w:r>
          </w:p>
        </w:tc>
      </w:tr>
      <w:tr w:rsidR="009071DA" w:rsidTr="0007312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</w:tcPr>
          <w:p w:rsidR="009071DA" w:rsidRPr="004605A9" w:rsidRDefault="004605A9" w:rsidP="000C1F01">
            <w:pPr>
              <w:widowControl/>
              <w:rPr>
                <w:rFonts w:asciiTheme="minorEastAsia" w:hAnsiTheme="minorEastAsia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督促供應商應重視勞工人權，注意工作環境的安全與衛生，改善不利的勞動條件。</w:t>
            </w:r>
          </w:p>
        </w:tc>
      </w:tr>
      <w:tr w:rsidR="009071DA" w:rsidTr="0007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</w:tcPr>
          <w:p w:rsidR="009071DA" w:rsidRPr="004605A9" w:rsidRDefault="004605A9" w:rsidP="00402047">
            <w:pPr>
              <w:widowControl/>
              <w:ind w:right="960"/>
              <w:rPr>
                <w:rFonts w:asciiTheme="minorEastAsia" w:hAnsiTheme="minorEastAsia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供應商若發生實際或可預期的重大環境、勞動條件、人權、社會等負面影響時</w:t>
            </w:r>
            <w:r w:rsidR="00402047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，將責其立即改善或終止契約。</w:t>
            </w:r>
          </w:p>
        </w:tc>
      </w:tr>
    </w:tbl>
    <w:p w:rsidR="0013212C" w:rsidRPr="00073120" w:rsidRDefault="0013212C" w:rsidP="000C1F01">
      <w:pPr>
        <w:widowControl/>
        <w:ind w:leftChars="118" w:left="283"/>
        <w:rPr>
          <w:rFonts w:ascii="Open Sans" w:eastAsia="新細明體" w:hAnsi="Open Sans" w:cs="新細明體" w:hint="eastAsia"/>
          <w:color w:val="000000"/>
          <w:kern w:val="0"/>
          <w:szCs w:val="24"/>
        </w:rPr>
      </w:pPr>
    </w:p>
    <w:p w:rsidR="004C3C06" w:rsidRDefault="004C3C06" w:rsidP="00293818">
      <w:pPr>
        <w:widowControl/>
        <w:spacing w:after="150"/>
        <w:ind w:leftChars="95" w:left="228" w:firstLine="54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</w:p>
    <w:p w:rsidR="001C02C6" w:rsidRDefault="001C02C6" w:rsidP="001C02C6">
      <w:pPr>
        <w:widowControl/>
        <w:spacing w:after="150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  <w:r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</w:rPr>
        <w:t>●供應商永續管理能力具體作法</w:t>
      </w:r>
    </w:p>
    <w:tbl>
      <w:tblPr>
        <w:tblStyle w:val="1"/>
        <w:tblW w:w="10063" w:type="dxa"/>
        <w:tblInd w:w="279" w:type="dxa"/>
        <w:tblLook w:val="04A0" w:firstRow="1" w:lastRow="0" w:firstColumn="1" w:lastColumn="0" w:noHBand="0" w:noVBand="1"/>
      </w:tblPr>
      <w:tblGrid>
        <w:gridCol w:w="3402"/>
        <w:gridCol w:w="3260"/>
        <w:gridCol w:w="3401"/>
      </w:tblGrid>
      <w:tr w:rsidR="001C02C6" w:rsidTr="00B7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1C02C6" w:rsidRPr="00F52927" w:rsidRDefault="001C02C6" w:rsidP="00F52927">
            <w:pPr>
              <w:widowControl/>
              <w:spacing w:after="150"/>
              <w:jc w:val="center"/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</w:pPr>
            <w:r w:rsidRPr="00F52927"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  <w:t>新供應商評估選擇</w:t>
            </w:r>
          </w:p>
        </w:tc>
        <w:tc>
          <w:tcPr>
            <w:tcW w:w="3260" w:type="dxa"/>
          </w:tcPr>
          <w:p w:rsidR="001C02C6" w:rsidRPr="00F52927" w:rsidRDefault="001C02C6" w:rsidP="00F52927">
            <w:pPr>
              <w:widowControl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</w:pPr>
            <w:r w:rsidRPr="00F52927"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  <w:t>供應商評鑑管理</w:t>
            </w:r>
          </w:p>
        </w:tc>
        <w:tc>
          <w:tcPr>
            <w:tcW w:w="3401" w:type="dxa"/>
          </w:tcPr>
          <w:p w:rsidR="001C02C6" w:rsidRPr="00F52927" w:rsidRDefault="001C02C6" w:rsidP="00F52927">
            <w:pPr>
              <w:widowControl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</w:pPr>
            <w:r w:rsidRPr="00F52927"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  <w:t>供應商輔導訓練</w:t>
            </w:r>
          </w:p>
        </w:tc>
      </w:tr>
      <w:tr w:rsidR="001C02C6" w:rsidTr="00F5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1C02C6" w:rsidRPr="00B772D1" w:rsidRDefault="00F52927" w:rsidP="00293818">
            <w:pPr>
              <w:widowControl/>
              <w:spacing w:after="150"/>
              <w:rPr>
                <w:rFonts w:ascii="Open Sans" w:eastAsia="新細明體" w:hAnsi="Open Sans" w:cs="新細明體" w:hint="eastAsia"/>
                <w:bCs w:val="0"/>
                <w:color w:val="000000"/>
                <w:kern w:val="0"/>
                <w:sz w:val="22"/>
              </w:rPr>
            </w:pPr>
            <w:r w:rsidRPr="00B772D1">
              <w:rPr>
                <w:rFonts w:ascii="Open Sans" w:eastAsia="新細明體" w:hAnsi="Open Sans" w:cs="新細明體" w:hint="eastAsia"/>
                <w:b w:val="0"/>
                <w:color w:val="000000"/>
                <w:kern w:val="0"/>
                <w:sz w:val="22"/>
              </w:rPr>
              <w:t>依據「供應商評選與管理作業」：</w:t>
            </w:r>
          </w:p>
          <w:p w:rsidR="00F52927" w:rsidRDefault="00F52927" w:rsidP="00073120">
            <w:pPr>
              <w:widowControl/>
              <w:spacing w:after="150"/>
              <w:ind w:left="315" w:hangingChars="175" w:hanging="315"/>
              <w:rPr>
                <w:rFonts w:ascii="Open Sans" w:eastAsia="新細明體" w:hAnsi="Open Sans" w:cs="新細明體" w:hint="eastAsia"/>
                <w:bCs w:val="0"/>
                <w:color w:val="000000"/>
                <w:kern w:val="0"/>
                <w:sz w:val="20"/>
                <w:szCs w:val="20"/>
              </w:rPr>
            </w:pPr>
            <w:r w:rsidRPr="009071DA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ascii="Open Sans" w:eastAsia="新細明體" w:hAnsi="Open Sans" w:cs="新細明體" w:hint="eastAsia"/>
                <w:bCs w:val="0"/>
                <w:color w:val="000000"/>
                <w:kern w:val="0"/>
                <w:sz w:val="20"/>
                <w:szCs w:val="20"/>
              </w:rPr>
              <w:t xml:space="preserve">  </w:t>
            </w:r>
            <w:r w:rsidRPr="00B772D1">
              <w:rPr>
                <w:rFonts w:ascii="Open Sans" w:eastAsia="新細明體" w:hAnsi="Open Sans" w:cs="新細明體" w:hint="eastAsia"/>
                <w:bCs w:val="0"/>
                <w:color w:val="000000"/>
                <w:kern w:val="0"/>
                <w:sz w:val="22"/>
              </w:rPr>
              <w:t>合格供應商：</w:t>
            </w:r>
            <w:r w:rsidRPr="00B772D1">
              <w:rPr>
                <w:rFonts w:ascii="Open Sans" w:eastAsia="新細明體" w:hAnsi="Open Sans" w:cs="新細明體" w:hint="eastAsia"/>
                <w:b w:val="0"/>
                <w:bCs w:val="0"/>
                <w:color w:val="000000"/>
                <w:kern w:val="0"/>
                <w:sz w:val="22"/>
              </w:rPr>
              <w:t>必須取得政府核發之</w:t>
            </w:r>
            <w:r w:rsidR="00A93B12" w:rsidRPr="00B772D1">
              <w:rPr>
                <w:rFonts w:ascii="Open Sans" w:eastAsia="新細明體" w:hAnsi="Open Sans" w:cs="新細明體" w:hint="eastAsia"/>
                <w:b w:val="0"/>
                <w:bCs w:val="0"/>
                <w:color w:val="000000"/>
                <w:kern w:val="0"/>
                <w:sz w:val="22"/>
              </w:rPr>
              <w:t>有效登記證。</w:t>
            </w:r>
          </w:p>
          <w:p w:rsidR="00F52927" w:rsidRPr="00B772D1" w:rsidRDefault="00F52927" w:rsidP="00B772D1">
            <w:pPr>
              <w:widowControl/>
              <w:spacing w:after="150"/>
              <w:ind w:left="458" w:hangingChars="254" w:hanging="458"/>
              <w:rPr>
                <w:rFonts w:ascii="Open Sans" w:eastAsia="新細明體" w:hAnsi="Open Sans" w:cs="新細明體" w:hint="eastAsia"/>
                <w:bCs w:val="0"/>
                <w:color w:val="000000"/>
                <w:kern w:val="0"/>
                <w:sz w:val="22"/>
              </w:rPr>
            </w:pPr>
            <w:r w:rsidRPr="009071DA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ascii="Open Sans" w:eastAsia="新細明體" w:hAnsi="Open Sans" w:cs="新細明體" w:hint="eastAsia"/>
                <w:bCs w:val="0"/>
                <w:color w:val="000000"/>
                <w:kern w:val="0"/>
                <w:sz w:val="20"/>
                <w:szCs w:val="20"/>
              </w:rPr>
              <w:t xml:space="preserve">  </w:t>
            </w:r>
            <w:r w:rsidR="00A93B12" w:rsidRPr="00B772D1">
              <w:rPr>
                <w:rFonts w:ascii="Open Sans" w:eastAsia="新細明體" w:hAnsi="Open Sans" w:cs="新細明體" w:hint="eastAsia"/>
                <w:bCs w:val="0"/>
                <w:color w:val="000000"/>
                <w:kern w:val="0"/>
                <w:sz w:val="22"/>
              </w:rPr>
              <w:t>環保工程相關作業廠商：</w:t>
            </w:r>
            <w:r w:rsidR="00A93B12" w:rsidRPr="00B772D1">
              <w:rPr>
                <w:rFonts w:ascii="Open Sans" w:eastAsia="新細明體" w:hAnsi="Open Sans" w:cs="新細明體" w:hint="eastAsia"/>
                <w:b w:val="0"/>
                <w:bCs w:val="0"/>
                <w:color w:val="000000"/>
                <w:kern w:val="0"/>
                <w:sz w:val="22"/>
              </w:rPr>
              <w:t>需具備</w:t>
            </w:r>
            <w:r w:rsidR="00A93B12" w:rsidRPr="00B772D1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22"/>
              </w:rPr>
              <w:t>I</w:t>
            </w:r>
            <w:r w:rsidR="00A93B12" w:rsidRPr="00B772D1">
              <w:rPr>
                <w:rFonts w:asciiTheme="minorEastAsia" w:hAnsiTheme="minorEastAsia" w:cs="新細明體"/>
                <w:b w:val="0"/>
                <w:color w:val="000000"/>
                <w:kern w:val="0"/>
                <w:sz w:val="22"/>
              </w:rPr>
              <w:t>SO</w:t>
            </w:r>
            <w:r w:rsidR="00A93B12" w:rsidRPr="00B772D1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22"/>
              </w:rPr>
              <w:t>14</w:t>
            </w:r>
            <w:r w:rsidR="00A93B12" w:rsidRPr="00B772D1">
              <w:rPr>
                <w:rFonts w:asciiTheme="minorEastAsia" w:hAnsiTheme="minorEastAsia" w:cs="新細明體"/>
                <w:b w:val="0"/>
                <w:color w:val="000000"/>
                <w:kern w:val="0"/>
                <w:sz w:val="22"/>
              </w:rPr>
              <w:t>00</w:t>
            </w:r>
            <w:r w:rsidR="00A93B12" w:rsidRPr="00B772D1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22"/>
              </w:rPr>
              <w:t>1環境認證及甲級廢棄物清除許可證。</w:t>
            </w:r>
          </w:p>
        </w:tc>
        <w:tc>
          <w:tcPr>
            <w:tcW w:w="3260" w:type="dxa"/>
          </w:tcPr>
          <w:p w:rsidR="001C02C6" w:rsidRPr="00B772D1" w:rsidRDefault="00A93B12" w:rsidP="00293818">
            <w:pPr>
              <w:widowControl/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b/>
                <w:color w:val="000000"/>
                <w:kern w:val="0"/>
                <w:sz w:val="22"/>
              </w:rPr>
            </w:pPr>
            <w:r w:rsidRPr="00B772D1">
              <w:rPr>
                <w:rFonts w:ascii="Open Sans" w:eastAsia="新細明體" w:hAnsi="Open Sans" w:cs="新細明體" w:hint="eastAsia"/>
                <w:color w:val="000000"/>
                <w:kern w:val="0"/>
                <w:sz w:val="22"/>
              </w:rPr>
              <w:t>供應商須通過評鑑供應商評鑑，並遵從供應商行為準則。</w:t>
            </w:r>
          </w:p>
          <w:p w:rsidR="00F52927" w:rsidRDefault="00F52927" w:rsidP="00B772D1">
            <w:pPr>
              <w:widowControl/>
              <w:spacing w:after="150"/>
              <w:ind w:left="315" w:hangingChars="17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9071DA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72D1"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  <w:t xml:space="preserve"> </w:t>
            </w:r>
            <w:r w:rsidR="00462993" w:rsidRPr="00B772D1"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  <w:t>依供應商平和機制進行評分。</w:t>
            </w:r>
          </w:p>
          <w:p w:rsidR="00F52927" w:rsidRPr="00B772D1" w:rsidRDefault="00F52927" w:rsidP="00B772D1">
            <w:pPr>
              <w:widowControl/>
              <w:spacing w:after="150"/>
              <w:ind w:left="315" w:hangingChars="17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9071DA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="00462993" w:rsidRPr="00B772D1"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  <w:t>供應商評比落於「</w:t>
            </w:r>
            <w:r w:rsidR="00462993" w:rsidRPr="00B772D1"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  <w:t>D</w:t>
            </w:r>
            <w:r w:rsidR="00462993" w:rsidRPr="00B772D1"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  <w:t>」等級，暫停往來交易直到改善為止。</w:t>
            </w:r>
          </w:p>
        </w:tc>
        <w:tc>
          <w:tcPr>
            <w:tcW w:w="3401" w:type="dxa"/>
          </w:tcPr>
          <w:p w:rsidR="00F52927" w:rsidRPr="00B772D1" w:rsidRDefault="00F52927" w:rsidP="00B772D1">
            <w:pPr>
              <w:widowControl/>
              <w:spacing w:after="150"/>
              <w:ind w:left="313" w:hangingChars="174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</w:pPr>
            <w:r w:rsidRPr="009071DA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="00462993" w:rsidRPr="00B772D1"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  <w:t>依據供應商特性及風險性做等級區分。</w:t>
            </w:r>
          </w:p>
          <w:p w:rsidR="00F52927" w:rsidRDefault="00F52927" w:rsidP="00B772D1">
            <w:pPr>
              <w:widowControl/>
              <w:spacing w:after="150"/>
              <w:ind w:left="313" w:hangingChars="174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9071DA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="003F6B47" w:rsidRPr="00B772D1">
              <w:rPr>
                <w:rFonts w:ascii="Open Sans" w:eastAsia="新細明體" w:hAnsi="Open Sans" w:cs="新細明體" w:hint="eastAsia"/>
                <w:bCs/>
                <w:color w:val="000000"/>
                <w:kern w:val="0"/>
                <w:sz w:val="22"/>
              </w:rPr>
              <w:t>不定期基和供應商在環保、職業安全衛生或勞動人權之實施情形。</w:t>
            </w:r>
          </w:p>
          <w:p w:rsidR="00F52927" w:rsidRDefault="00F52927" w:rsidP="00293818">
            <w:pPr>
              <w:widowControl/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新細明體" w:hAnsi="Open Sans" w:cs="新細明體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C02C6" w:rsidRDefault="001C02C6" w:rsidP="00293818">
      <w:pPr>
        <w:widowControl/>
        <w:spacing w:after="150"/>
        <w:ind w:leftChars="95" w:left="228" w:firstLine="54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</w:p>
    <w:p w:rsidR="00B772D1" w:rsidRDefault="00B772D1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  <w:r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  <w:br w:type="page"/>
      </w:r>
    </w:p>
    <w:p w:rsidR="001C02C6" w:rsidRDefault="001C02C6" w:rsidP="00293818">
      <w:pPr>
        <w:widowControl/>
        <w:spacing w:after="150"/>
        <w:ind w:leftChars="95" w:left="228" w:firstLine="54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</w:p>
    <w:p w:rsidR="001C02C6" w:rsidRDefault="00E02C22" w:rsidP="00293818">
      <w:pPr>
        <w:widowControl/>
        <w:spacing w:after="150"/>
        <w:ind w:leftChars="95" w:left="228" w:firstLine="54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  <w:r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</w:rPr>
        <w:t>●永續供應商評核</w:t>
      </w:r>
    </w:p>
    <w:p w:rsidR="001C02C6" w:rsidRPr="00B772D1" w:rsidRDefault="00DA7D4E" w:rsidP="00B772D1">
      <w:pPr>
        <w:widowControl/>
        <w:spacing w:after="150" w:line="340" w:lineRule="exact"/>
        <w:ind w:leftChars="200" w:left="480"/>
        <w:rPr>
          <w:rFonts w:ascii="Open Sans" w:eastAsia="新細明體" w:hAnsi="Open Sans" w:cs="新細明體" w:hint="eastAsia"/>
          <w:vanish/>
          <w:color w:val="000000"/>
          <w:kern w:val="0"/>
          <w:szCs w:val="24"/>
          <w:specVanish/>
        </w:rPr>
      </w:pPr>
      <w:r w:rsidRPr="00B772D1">
        <w:rPr>
          <w:rFonts w:ascii="Open Sans" w:eastAsia="新細明體" w:hAnsi="Open Sans" w:cs="新細明體" w:hint="eastAsia"/>
          <w:color w:val="000000"/>
          <w:kern w:val="0"/>
          <w:szCs w:val="24"/>
        </w:rPr>
        <w:t>對於月購及採購金額達</w:t>
      </w:r>
      <w:r w:rsidRPr="00B772D1">
        <w:rPr>
          <w:rFonts w:ascii="Open Sans" w:eastAsia="新細明體" w:hAnsi="Open Sans" w:cs="新細明體" w:hint="eastAsia"/>
          <w:color w:val="000000"/>
          <w:kern w:val="0"/>
          <w:szCs w:val="24"/>
        </w:rPr>
        <w:t>50</w:t>
      </w:r>
      <w:r w:rsidRPr="00B772D1">
        <w:rPr>
          <w:rFonts w:ascii="Open Sans" w:eastAsia="新細明體" w:hAnsi="Open Sans" w:cs="新細明體" w:hint="eastAsia"/>
          <w:color w:val="000000"/>
          <w:kern w:val="0"/>
          <w:szCs w:val="24"/>
        </w:rPr>
        <w:t>萬元以上之主要供應商，包括設備供應商、原料供應商</w:t>
      </w:r>
      <w:r w:rsidR="000C61FF" w:rsidRPr="00B772D1">
        <w:rPr>
          <w:rFonts w:ascii="Open Sans" w:eastAsia="新細明體" w:hAnsi="Open Sans" w:cs="新細明體" w:hint="eastAsia"/>
          <w:color w:val="000000"/>
          <w:kern w:val="0"/>
          <w:szCs w:val="24"/>
        </w:rPr>
        <w:t>、耗材供應商、工程供應商等類別，</w:t>
      </w:r>
      <w:proofErr w:type="gramStart"/>
      <w:r w:rsidR="000C61FF" w:rsidRPr="00B772D1">
        <w:rPr>
          <w:rFonts w:ascii="Open Sans" w:eastAsia="新細明體" w:hAnsi="Open Sans" w:cs="新細明體" w:hint="eastAsia"/>
          <w:color w:val="000000"/>
          <w:kern w:val="0"/>
          <w:szCs w:val="24"/>
        </w:rPr>
        <w:t>每尼度</w:t>
      </w:r>
      <w:proofErr w:type="gramEnd"/>
      <w:r w:rsidR="000C61FF" w:rsidRPr="00B772D1">
        <w:rPr>
          <w:rFonts w:ascii="Open Sans" w:eastAsia="新細明體" w:hAnsi="Open Sans" w:cs="新細明體" w:hint="eastAsia"/>
          <w:color w:val="000000"/>
          <w:kern w:val="0"/>
          <w:szCs w:val="24"/>
        </w:rPr>
        <w:t>執行「</w:t>
      </w:r>
      <w:r w:rsidR="00FD5043" w:rsidRPr="00B772D1">
        <w:rPr>
          <w:rFonts w:ascii="Open Sans" w:eastAsia="新細明體" w:hAnsi="Open Sans" w:cs="新細明體" w:hint="eastAsia"/>
          <w:color w:val="000000"/>
          <w:kern w:val="0"/>
          <w:szCs w:val="24"/>
        </w:rPr>
        <w:t>品質」、</w:t>
      </w:r>
    </w:p>
    <w:p w:rsidR="00E02C22" w:rsidRPr="00B772D1" w:rsidRDefault="000C61FF" w:rsidP="00B772D1">
      <w:pPr>
        <w:pStyle w:val="3"/>
        <w:spacing w:line="340" w:lineRule="exact"/>
        <w:ind w:leftChars="200" w:left="480"/>
        <w:rPr>
          <w:b w:val="0"/>
          <w:sz w:val="24"/>
          <w:szCs w:val="24"/>
        </w:rPr>
      </w:pPr>
      <w:r w:rsidRPr="00B772D1">
        <w:rPr>
          <w:rFonts w:hint="eastAsia"/>
          <w:b w:val="0"/>
          <w:sz w:val="24"/>
          <w:szCs w:val="24"/>
        </w:rPr>
        <w:t xml:space="preserve"> 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「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交期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」、「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配合度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」、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及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「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企業社會責任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」</w:t>
      </w:r>
      <w:r w:rsidR="00FD5043" w:rsidRPr="00B772D1">
        <w:rPr>
          <w:rFonts w:ascii="Open Sans" w:eastAsia="新細明體" w:hAnsi="Open Sans" w:cs="新細明體" w:hint="eastAsia"/>
          <w:b w:val="0"/>
          <w:color w:val="000000"/>
          <w:kern w:val="0"/>
          <w:sz w:val="24"/>
          <w:szCs w:val="24"/>
        </w:rPr>
        <w:t>等面向進行平和作業。</w:t>
      </w:r>
    </w:p>
    <w:tbl>
      <w:tblPr>
        <w:tblStyle w:val="1"/>
        <w:tblW w:w="9726" w:type="dxa"/>
        <w:tblInd w:w="562" w:type="dxa"/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2620"/>
        <w:gridCol w:w="18"/>
      </w:tblGrid>
      <w:tr w:rsidR="00FD5043" w:rsidTr="00B7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5"/>
          </w:tcPr>
          <w:p w:rsidR="00FD5043" w:rsidRPr="00B772D1" w:rsidRDefault="00FD5043" w:rsidP="00293818">
            <w:pPr>
              <w:widowControl/>
              <w:spacing w:after="150"/>
              <w:rPr>
                <w:rFonts w:ascii="Open Sans" w:eastAsia="新細明體" w:hAnsi="Open Sans" w:cs="新細明體" w:hint="eastAsia"/>
                <w:b w:val="0"/>
                <w:color w:val="000000"/>
                <w:kern w:val="0"/>
                <w:szCs w:val="24"/>
              </w:rPr>
            </w:pPr>
            <w:r w:rsidRPr="00B772D1"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  <w:t>永續供應商評</w:t>
            </w:r>
            <w:r w:rsidRPr="00B772D1"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  <w:t>比等級與因應措施</w:t>
            </w:r>
          </w:p>
        </w:tc>
      </w:tr>
      <w:tr w:rsidR="00FD5043" w:rsidTr="00B772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D5043" w:rsidRPr="00B772D1" w:rsidRDefault="00FD5043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</w:pPr>
            <w:r w:rsidRPr="00B772D1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Cs w:val="24"/>
              </w:rPr>
              <w:t>100 ~ 90</w:t>
            </w:r>
          </w:p>
        </w:tc>
        <w:tc>
          <w:tcPr>
            <w:tcW w:w="2268" w:type="dxa"/>
          </w:tcPr>
          <w:p w:rsidR="00FD5043" w:rsidRPr="00B772D1" w:rsidRDefault="00FD5043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89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~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8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2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79</w:t>
            </w:r>
            <w:r w:rsidR="00FD5043"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~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</w:t>
            </w:r>
            <w:r w:rsidR="00FD5043"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20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低於</w:t>
            </w:r>
            <w:r w:rsidR="00FD5043"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</w:t>
            </w:r>
            <w:r w:rsidR="00FD5043" w:rsidRPr="00B772D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FD5043" w:rsidTr="00B772D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2268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552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2620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D</w:t>
            </w:r>
          </w:p>
        </w:tc>
      </w:tr>
      <w:tr w:rsidR="00FD5043" w:rsidTr="00B772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b w:val="0"/>
                <w:color w:val="000000"/>
                <w:kern w:val="0"/>
                <w:sz w:val="22"/>
              </w:rPr>
              <w:t>優先採購並加強合作</w:t>
            </w:r>
          </w:p>
        </w:tc>
        <w:tc>
          <w:tcPr>
            <w:tcW w:w="2268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維持目前作業</w:t>
            </w:r>
          </w:p>
        </w:tc>
        <w:tc>
          <w:tcPr>
            <w:tcW w:w="2552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列入輔導，提改善計畫</w:t>
            </w:r>
          </w:p>
        </w:tc>
        <w:tc>
          <w:tcPr>
            <w:tcW w:w="2620" w:type="dxa"/>
          </w:tcPr>
          <w:p w:rsidR="00FD5043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列為不往來</w:t>
            </w:r>
          </w:p>
        </w:tc>
      </w:tr>
    </w:tbl>
    <w:p w:rsidR="00E02C22" w:rsidRDefault="00E02C22" w:rsidP="00293818">
      <w:pPr>
        <w:widowControl/>
        <w:spacing w:after="150"/>
        <w:ind w:leftChars="95" w:left="228" w:firstLine="54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</w:p>
    <w:tbl>
      <w:tblPr>
        <w:tblStyle w:val="1"/>
        <w:tblW w:w="9689" w:type="dxa"/>
        <w:tblInd w:w="562" w:type="dxa"/>
        <w:tblLook w:val="04A0" w:firstRow="1" w:lastRow="0" w:firstColumn="1" w:lastColumn="0" w:noHBand="0" w:noVBand="1"/>
      </w:tblPr>
      <w:tblGrid>
        <w:gridCol w:w="2694"/>
        <w:gridCol w:w="3493"/>
        <w:gridCol w:w="3494"/>
        <w:gridCol w:w="8"/>
      </w:tblGrid>
      <w:tr w:rsidR="00A47920" w:rsidTr="00B7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4"/>
          </w:tcPr>
          <w:p w:rsidR="00A47920" w:rsidRPr="00B772D1" w:rsidRDefault="00A47920" w:rsidP="00293818">
            <w:pPr>
              <w:widowControl/>
              <w:spacing w:after="150"/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</w:pPr>
            <w:r w:rsidRPr="00B772D1">
              <w:rPr>
                <w:rFonts w:ascii="Open Sans" w:eastAsia="新細明體" w:hAnsi="Open Sans" w:cs="新細明體" w:hint="eastAsia"/>
                <w:color w:val="000000"/>
                <w:kern w:val="0"/>
                <w:szCs w:val="24"/>
              </w:rPr>
              <w:t>年度評比結果</w:t>
            </w:r>
          </w:p>
        </w:tc>
      </w:tr>
      <w:tr w:rsidR="00A47920" w:rsidTr="00B772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評</w:t>
            </w:r>
            <w:r w:rsidR="00B772D1"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核</w:t>
            </w:r>
            <w:r w:rsidR="00B772D1"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年</w:t>
            </w:r>
            <w:r w:rsidR="00B772D1"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度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b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b/>
                <w:color w:val="000000"/>
                <w:kern w:val="0"/>
                <w:sz w:val="22"/>
              </w:rPr>
              <w:t>108年</w:t>
            </w:r>
          </w:p>
        </w:tc>
        <w:tc>
          <w:tcPr>
            <w:tcW w:w="3494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b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b/>
                <w:color w:val="000000"/>
                <w:kern w:val="0"/>
                <w:sz w:val="22"/>
              </w:rPr>
              <w:t>10</w:t>
            </w:r>
            <w:r w:rsidRPr="00B772D1">
              <w:rPr>
                <w:rFonts w:asciiTheme="minorEastAsia" w:hAnsiTheme="minorEastAsia" w:cs="新細明體" w:hint="eastAsia"/>
                <w:b/>
                <w:color w:val="000000"/>
                <w:kern w:val="0"/>
                <w:sz w:val="22"/>
              </w:rPr>
              <w:t>9</w:t>
            </w:r>
            <w:r w:rsidRPr="00B772D1">
              <w:rPr>
                <w:rFonts w:asciiTheme="minorEastAsia" w:hAnsiTheme="minorEastAsia" w:cs="新細明體" w:hint="eastAsia"/>
                <w:b/>
                <w:color w:val="000000"/>
                <w:kern w:val="0"/>
                <w:sz w:val="22"/>
              </w:rPr>
              <w:t>年</w:t>
            </w:r>
          </w:p>
        </w:tc>
      </w:tr>
      <w:tr w:rsidR="00A47920" w:rsidTr="00B772D1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納入</w:t>
            </w:r>
            <w:proofErr w:type="gramStart"/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評核家數</w:t>
            </w:r>
            <w:proofErr w:type="gramEnd"/>
          </w:p>
        </w:tc>
        <w:tc>
          <w:tcPr>
            <w:tcW w:w="3493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6</w:t>
            </w:r>
            <w:r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3494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7</w:t>
            </w:r>
            <w:r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</w:t>
            </w:r>
          </w:p>
        </w:tc>
      </w:tr>
      <w:tr w:rsidR="00A47920" w:rsidTr="00B772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A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 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等</w:t>
            </w:r>
            <w:r w:rsidR="00B772D1"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 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3493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4</w:t>
            </w:r>
            <w:r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3494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3</w:t>
            </w:r>
            <w:r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0</w:t>
            </w:r>
          </w:p>
        </w:tc>
      </w:tr>
      <w:tr w:rsidR="00A47920" w:rsidTr="00B772D1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B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 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等</w:t>
            </w:r>
            <w:r w:rsidR="00B772D1"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3493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1</w:t>
            </w:r>
            <w:r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3494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4</w:t>
            </w:r>
            <w:r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</w:t>
            </w:r>
          </w:p>
        </w:tc>
      </w:tr>
      <w:tr w:rsidR="00A47920" w:rsidTr="00B772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C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 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等</w:t>
            </w:r>
            <w:r w:rsidR="00B772D1"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3493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94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A47920" w:rsidTr="00B772D1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</w:tcPr>
          <w:p w:rsidR="00A47920" w:rsidRPr="00B772D1" w:rsidRDefault="00A47920" w:rsidP="00B772D1">
            <w:pPr>
              <w:widowControl/>
              <w:spacing w:after="150"/>
              <w:jc w:val="center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D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 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等</w:t>
            </w:r>
            <w:r w:rsidR="00B772D1"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</w:t>
            </w:r>
            <w:r w:rsidR="00B772D1" w:rsidRPr="00B772D1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 xml:space="preserve">  </w:t>
            </w: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3493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94" w:type="dxa"/>
          </w:tcPr>
          <w:p w:rsidR="00A47920" w:rsidRPr="00B772D1" w:rsidRDefault="00A47920" w:rsidP="00B772D1">
            <w:pPr>
              <w:widowControl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</w:pPr>
            <w:r w:rsidRPr="00B772D1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E02C22" w:rsidRDefault="00E02C22" w:rsidP="00293818">
      <w:pPr>
        <w:widowControl/>
        <w:spacing w:after="150"/>
        <w:ind w:leftChars="95" w:left="228" w:firstLine="54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</w:p>
    <w:sectPr w:rsidR="00E02C22" w:rsidSect="00FF4364">
      <w:pgSz w:w="11906" w:h="16838"/>
      <w:pgMar w:top="851" w:right="707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9A" w:rsidRDefault="00A8149A" w:rsidP="00A8149A">
      <w:r>
        <w:separator/>
      </w:r>
    </w:p>
  </w:endnote>
  <w:endnote w:type="continuationSeparator" w:id="0">
    <w:p w:rsidR="00A8149A" w:rsidRDefault="00A8149A" w:rsidP="00A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9A" w:rsidRDefault="00A8149A" w:rsidP="00A8149A">
      <w:r>
        <w:separator/>
      </w:r>
    </w:p>
  </w:footnote>
  <w:footnote w:type="continuationSeparator" w:id="0">
    <w:p w:rsidR="00A8149A" w:rsidRDefault="00A8149A" w:rsidP="00A8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D74A5"/>
    <w:multiLevelType w:val="hybridMultilevel"/>
    <w:tmpl w:val="C2FE1BAA"/>
    <w:lvl w:ilvl="0" w:tplc="04AA281A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84"/>
    <w:rsid w:val="00073120"/>
    <w:rsid w:val="00095E01"/>
    <w:rsid w:val="000A4083"/>
    <w:rsid w:val="000B117A"/>
    <w:rsid w:val="000B45CA"/>
    <w:rsid w:val="000C1F01"/>
    <w:rsid w:val="000C61FF"/>
    <w:rsid w:val="00105AC5"/>
    <w:rsid w:val="0013212C"/>
    <w:rsid w:val="00136CD6"/>
    <w:rsid w:val="00143A84"/>
    <w:rsid w:val="0017073B"/>
    <w:rsid w:val="00177681"/>
    <w:rsid w:val="001A2DAD"/>
    <w:rsid w:val="001B6E8B"/>
    <w:rsid w:val="001C02C6"/>
    <w:rsid w:val="001C2AF6"/>
    <w:rsid w:val="00254B4E"/>
    <w:rsid w:val="0029029D"/>
    <w:rsid w:val="00293818"/>
    <w:rsid w:val="00295CC0"/>
    <w:rsid w:val="002A7F75"/>
    <w:rsid w:val="002B670F"/>
    <w:rsid w:val="00316B10"/>
    <w:rsid w:val="0033381E"/>
    <w:rsid w:val="00350591"/>
    <w:rsid w:val="003620E1"/>
    <w:rsid w:val="00364F90"/>
    <w:rsid w:val="003726BF"/>
    <w:rsid w:val="00372BC8"/>
    <w:rsid w:val="00393E48"/>
    <w:rsid w:val="003C4B65"/>
    <w:rsid w:val="003F6B47"/>
    <w:rsid w:val="00402047"/>
    <w:rsid w:val="0043188F"/>
    <w:rsid w:val="00447C8C"/>
    <w:rsid w:val="004605A9"/>
    <w:rsid w:val="00462993"/>
    <w:rsid w:val="004C3C06"/>
    <w:rsid w:val="004D11A9"/>
    <w:rsid w:val="004E5943"/>
    <w:rsid w:val="005039CF"/>
    <w:rsid w:val="00525343"/>
    <w:rsid w:val="00537DD5"/>
    <w:rsid w:val="005E4022"/>
    <w:rsid w:val="006847F3"/>
    <w:rsid w:val="006A73C4"/>
    <w:rsid w:val="006B17BF"/>
    <w:rsid w:val="006F1497"/>
    <w:rsid w:val="006F7488"/>
    <w:rsid w:val="007378B7"/>
    <w:rsid w:val="00755DDA"/>
    <w:rsid w:val="00770552"/>
    <w:rsid w:val="00783ACA"/>
    <w:rsid w:val="007E1EB1"/>
    <w:rsid w:val="007F2E9C"/>
    <w:rsid w:val="007F38C1"/>
    <w:rsid w:val="00811669"/>
    <w:rsid w:val="00834402"/>
    <w:rsid w:val="008A2E84"/>
    <w:rsid w:val="008C20AA"/>
    <w:rsid w:val="009071DA"/>
    <w:rsid w:val="009672CB"/>
    <w:rsid w:val="009D399E"/>
    <w:rsid w:val="009D54F0"/>
    <w:rsid w:val="009F251F"/>
    <w:rsid w:val="00A47920"/>
    <w:rsid w:val="00A65588"/>
    <w:rsid w:val="00A8149A"/>
    <w:rsid w:val="00A9284C"/>
    <w:rsid w:val="00A93B12"/>
    <w:rsid w:val="00AC76B3"/>
    <w:rsid w:val="00AF01CC"/>
    <w:rsid w:val="00AF0633"/>
    <w:rsid w:val="00AF14FF"/>
    <w:rsid w:val="00B413A1"/>
    <w:rsid w:val="00B41CD1"/>
    <w:rsid w:val="00B772D1"/>
    <w:rsid w:val="00BB32F7"/>
    <w:rsid w:val="00BE5BBB"/>
    <w:rsid w:val="00BE66F8"/>
    <w:rsid w:val="00C421CB"/>
    <w:rsid w:val="00C826A4"/>
    <w:rsid w:val="00C82CF8"/>
    <w:rsid w:val="00CB086A"/>
    <w:rsid w:val="00CD2440"/>
    <w:rsid w:val="00D350E1"/>
    <w:rsid w:val="00D4705D"/>
    <w:rsid w:val="00D6297E"/>
    <w:rsid w:val="00D85E95"/>
    <w:rsid w:val="00D91F13"/>
    <w:rsid w:val="00DA7D4E"/>
    <w:rsid w:val="00E02C22"/>
    <w:rsid w:val="00E103B7"/>
    <w:rsid w:val="00E35357"/>
    <w:rsid w:val="00E7360F"/>
    <w:rsid w:val="00E778F4"/>
    <w:rsid w:val="00EC17F1"/>
    <w:rsid w:val="00ED1C1B"/>
    <w:rsid w:val="00ED1F36"/>
    <w:rsid w:val="00F044F3"/>
    <w:rsid w:val="00F3446C"/>
    <w:rsid w:val="00F35F8E"/>
    <w:rsid w:val="00F52927"/>
    <w:rsid w:val="00FB4F2F"/>
    <w:rsid w:val="00FD2510"/>
    <w:rsid w:val="00FD5043"/>
    <w:rsid w:val="00FD61E1"/>
    <w:rsid w:val="00FE10AC"/>
    <w:rsid w:val="00FE69D2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AD21AA"/>
  <w15:chartTrackingRefBased/>
  <w15:docId w15:val="{396D35CF-2C22-4554-BD27-F2F7047F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C61F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4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4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814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uiPriority w:val="99"/>
    <w:rsid w:val="00AC76B3"/>
    <w:rPr>
      <w:color w:val="0000FF"/>
      <w:u w:val="single"/>
    </w:rPr>
  </w:style>
  <w:style w:type="table" w:styleId="a8">
    <w:name w:val="Table Grid"/>
    <w:basedOn w:val="a1"/>
    <w:uiPriority w:val="59"/>
    <w:rsid w:val="00AC76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707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1707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9071D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C61F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A385-FDBA-4352-9A57-2B5868FB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139</Words>
  <Characters>794</Characters>
  <Application>Microsoft Office Word</Application>
  <DocSecurity>0</DocSecurity>
  <Lines>6</Lines>
  <Paragraphs>1</Paragraphs>
  <ScaleCrop>false</ScaleCrop>
  <Company>Bionet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Yu [余明忠]</dc:creator>
  <cp:keywords/>
  <dc:description/>
  <cp:lastModifiedBy>David Yu [余明忠]</cp:lastModifiedBy>
  <cp:revision>76</cp:revision>
  <dcterms:created xsi:type="dcterms:W3CDTF">2021-03-11T07:34:00Z</dcterms:created>
  <dcterms:modified xsi:type="dcterms:W3CDTF">2021-03-17T12:23:00Z</dcterms:modified>
</cp:coreProperties>
</file>